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0.xml" ContentType="application/vnd.openxmlformats-officedocument.wordprocessingml.footer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 mc:Ignorable="w14 wp14 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9165"/>
        <w:gridCol w:w="172"/>
      </w:tblGrid>
      <w:tr>
        <w:trPr>
          <w:trHeight w:val="540" w:hRule="atLeast"/>
        </w:trPr>
        <w:tc>
          <w:tcPr>
            <w:cnfStyle w:val="100010000000"/>
            <w:tcW w:w="180" w:type="dxa"/>
          </w:tcPr>
          <w:p w14:paraId="00000001">
            <w:pPr>
              <w:pStyle w:val="Normal"/>
              <w:spacing w:after="0" w:line="240" w:lineRule="auto"/>
              <w:rPr/>
            </w:pPr>
          </w:p>
        </w:tc>
        <w:tc>
          <w:tcPr>
            <w:cnfStyle w:val="100001000000"/>
            <w:tcW w:w="9165" w:type="dxa"/>
          </w:tcPr>
          <w:p w14:paraId="00000002">
            <w:pPr>
              <w:pStyle w:val="Normal"/>
              <w:spacing w:after="0" w:line="240" w:lineRule="auto"/>
              <w:rPr/>
            </w:pPr>
          </w:p>
        </w:tc>
        <w:tc>
          <w:tcPr>
            <w:cnfStyle w:val="100010000000"/>
            <w:tcW w:w="172" w:type="dxa"/>
          </w:tcPr>
          <w:p w14:paraId="00000003">
            <w:pPr>
              <w:pStyle w:val="Normal"/>
              <w:spacing w:after="0" w:line="240" w:lineRule="auto"/>
              <w:rPr/>
            </w:pPr>
          </w:p>
        </w:tc>
      </w:tr>
      <w:tr>
        <w:trPr/>
        <w:tc>
          <w:tcPr>
            <w:cnfStyle w:val="000010000000"/>
            <w:tcW w:w="180" w:type="dxa"/>
          </w:tcPr>
          <w:p w14:paraId="00000004">
            <w:pPr>
              <w:pStyle w:val="Normal"/>
              <w:spacing w:after="0" w:line="240" w:lineRule="auto"/>
              <w:rPr/>
            </w:pPr>
          </w:p>
        </w:tc>
        <w:tc>
          <w:tcPr>
            <w:cnfStyle w:val="000001000000"/>
            <w:tcW w:w="9165" w:type="dxa"/>
          </w:tcPr>
          <w:tbl>
            <w:tblPr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98"/>
              <w:gridCol w:w="1759"/>
              <w:gridCol w:w="2719"/>
              <w:gridCol w:w="488"/>
              <w:gridCol w:w="1279"/>
              <w:gridCol w:w="1196"/>
            </w:tblGrid>
            <w:tr>
              <w:trPr>
                <w:trHeight w:val="1451" w:hRule="atLeast"/>
              </w:trPr>
              <w:tc>
                <w:tcPr>
                  <w:cnfStyle w:val="1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IN THE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CONSTITUTIONAL COURT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 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ILE DU PORT</w:t>
                  </w:r>
                </w:p>
                <w:p w14:paraId="000000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CIVIL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 CASES FOR HEARING FROM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MON 18 MAY 2026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 TO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FRI 22 MAY 2026</w:t>
                  </w:r>
                </w:p>
                <w:p w14:paraId="00000007">
                  <w:pPr>
                    <w:spacing w:after="0" w:line="240" w:lineRule="auto"/>
                    <w:jc w:val="center"/>
                    <w:rPr/>
                  </w:pPr>
                </w:p>
                <w:p w14:paraId="00000008">
                  <w:pPr>
                    <w:spacing w:after="0" w:line="240" w:lineRule="auto"/>
                    <w:jc w:val="left"/>
                    <w:rPr/>
                  </w:pPr>
                </w:p>
              </w:tc>
              <w:tc>
                <w:tcPr>
                  <w:cnfStyle w:val="1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19ᵗʰ OF MAY 2026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HON. JUDGE M. VIDOT, HON. JUDGE A. MADELEINE, HON. JUDGE N. BURIAN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NO. 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CON-00-CV-CP-0009-2026</w:t>
                  </w:r>
                </w:p>
                <w:p w14:paraId="000000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submissions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Steven Gonzalves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1. The Seychelles Investment Board (SIB) 2. The Attorney General of the Republic of Seychelles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C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92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  <w:u w:val="single"/>
                    </w:rPr>
                    <w:t>Nature of Action</w:t>
                  </w:r>
                </w:p>
                <w:p w14:paraId="0000002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This H. Court for interim constituitonal and conservatory of the applicant's constitutional petition.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3">
                  <w:pPr>
                    <w:spacing w:after="0" w:line="240" w:lineRule="auto"/>
                    <w:rPr/>
                  </w:pPr>
                </w:p>
              </w:tc>
            </w:tr>
          </w:tbl>
          <w:p w14:paraId="00000034">
            <w:pPr>
              <w:spacing w:after="0" w:line="240" w:lineRule="auto"/>
              <w:rPr/>
            </w:pPr>
          </w:p>
        </w:tc>
        <w:tc>
          <w:tcPr>
            <w:cnfStyle w:val="000010000000"/>
            <w:tcW w:w="172" w:type="dxa"/>
          </w:tcPr>
          <w:p w14:paraId="00000035">
            <w:pPr>
              <w:pStyle w:val="Normal"/>
              <w:spacing w:after="0" w:line="240" w:lineRule="auto"/>
              <w:rPr/>
            </w:pPr>
          </w:p>
        </w:tc>
      </w:tr>
      <w:tr>
        <w:trPr>
          <w:trHeight w:val="3299" w:hRule="atLeast"/>
        </w:trPr>
        <w:tc>
          <w:tcPr>
            <w:cnfStyle w:val="000010000000"/>
            <w:tcW w:w="180" w:type="dxa"/>
          </w:tcPr>
          <w:p w14:paraId="00000036">
            <w:pPr>
              <w:pStyle w:val="Normal"/>
              <w:spacing w:after="0" w:line="240" w:lineRule="auto"/>
              <w:rPr/>
            </w:pPr>
          </w:p>
        </w:tc>
        <w:tc>
          <w:tcPr>
            <w:cnfStyle w:val="000001000000"/>
            <w:tcW w:w="9165" w:type="dxa"/>
          </w:tcPr>
          <w:p w14:paraId="00000037">
            <w:pPr>
              <w:pStyle w:val="Normal"/>
              <w:spacing w:after="0" w:line="240" w:lineRule="auto"/>
              <w:rPr/>
            </w:pPr>
          </w:p>
        </w:tc>
        <w:tc>
          <w:tcPr>
            <w:cnfStyle w:val="000010000000"/>
            <w:tcW w:w="172" w:type="dxa"/>
          </w:tcPr>
          <w:p w14:paraId="00000038">
            <w:pPr>
              <w:pStyle w:val="Normal"/>
              <w:spacing w:after="0" w:line="240" w:lineRule="auto"/>
              <w:rPr/>
            </w:pPr>
          </w:p>
        </w:tc>
      </w:tr>
    </w:tbl>
    <w:p w14:paraId="00000039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/>
</w:fonts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468"/>
      <w:gridCol w:w="4696"/>
      <w:gridCol w:w="352"/>
    </w:tblGrid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696"/>
          </w:tblGrid>
          <w:tr>
            <w:trPr>
              <w:trHeight w:val="262" w:hRule="atLeast"/>
            </w:trPr>
            <w:tc>
              <w:tcPr>
                <w:tcW w:w="469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Page:  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Segoe UI" w:hAnsi="Segoe UI" w:eastAsia="Segoe UI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1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 of 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Segoe UI" w:hAnsi="Segoe UI" w:eastAsia="Segoe UI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1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 mc:Ignorable="w14 wp14 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237"/>
      <w:gridCol w:w="4454"/>
      <w:gridCol w:w="333"/>
    </w:tblGrid>
    <w:tr>
      <w:trPr/>
      <w:tc>
        <w:tcPr>
          <w:cnfStyle w:val="100010000000"/>
          <w:tcW w:w="4468" w:type="dxa"/>
        </w:tcPr>
        <w:p w14:paraId="0000003A">
          <w:pPr>
            <w:pStyle w:val="Normal"/>
            <w:spacing w:after="0" w:line="240" w:lineRule="auto"/>
            <w:rPr/>
          </w:pPr>
        </w:p>
      </w:tc>
      <w:tc>
        <w:tcPr>
          <w:cnfStyle w:val="100001000000"/>
          <w:tcW w:w="4696" w:type="dxa"/>
        </w:tcPr>
        <w:p w14:paraId="0000003B">
          <w:pPr>
            <w:pStyle w:val="Normal"/>
            <w:spacing w:after="0" w:line="240" w:lineRule="auto"/>
            <w:rPr/>
          </w:pPr>
        </w:p>
      </w:tc>
      <w:tc>
        <w:tcPr>
          <w:cnfStyle w:val="100010000000"/>
          <w:tcW w:w="352" w:type="dxa"/>
        </w:tcPr>
        <w:p w14:paraId="0000003C">
          <w:pPr>
            <w:pStyle w:val="Normal"/>
            <w:spacing w:after="0" w:line="240" w:lineRule="auto"/>
            <w:rPr/>
          </w:pPr>
        </w:p>
      </w:tc>
    </w:tr>
    <w:tr>
      <w:trPr/>
      <w:tc>
        <w:tcPr>
          <w:cnfStyle w:val="000010000000"/>
          <w:tcW w:w="4468" w:type="dxa"/>
        </w:tcPr>
        <w:p w14:paraId="0000003D">
          <w:pPr>
            <w:pStyle w:val="Normal"/>
            <w:spacing w:after="0" w:line="240" w:lineRule="auto"/>
            <w:rPr/>
          </w:pPr>
        </w:p>
      </w:tc>
      <w:tc>
        <w:tcPr>
          <w:cnfStyle w:val="000001000000"/>
          <w:tcW w:w="469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696"/>
          </w:tblGrid>
          <w:tr>
            <w:trPr>
              <w:trHeight w:val="262" w:hRule="atLeast"/>
            </w:trPr>
            <w:tc>
              <w:tcPr>
                <w:cnfStyle w:val="1000100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03E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  <w:sz w:val="2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t>1</w:t>
                </w:r>
                <w:r>
                  <w:fldChar w:fldCharType="end"/>
                </w:r>
              </w:p>
            </w:tc>
          </w:tr>
        </w:tbl>
        <w:p w14:paraId="0000003F">
          <w:pPr>
            <w:spacing w:after="0" w:line="240" w:lineRule="auto"/>
            <w:rPr/>
          </w:pPr>
        </w:p>
      </w:tc>
      <w:tc>
        <w:tcPr>
          <w:cnfStyle w:val="000010000000"/>
          <w:tcW w:w="352" w:type="dxa"/>
        </w:tcPr>
        <w:p w14:paraId="00000040">
          <w:pPr>
            <w:pStyle w:val="Normal"/>
            <w:spacing w:after="0" w:line="240" w:lineRule="auto"/>
            <w:rPr/>
          </w:pPr>
        </w:p>
      </w:tc>
    </w:tr>
    <w:tr>
      <w:trPr/>
      <w:tc>
        <w:tcPr>
          <w:cnfStyle w:val="000010000000"/>
          <w:tcW w:w="4468" w:type="dxa"/>
        </w:tcPr>
        <w:p w14:paraId="00000041">
          <w:pPr>
            <w:pStyle w:val="Normal"/>
            <w:spacing w:after="0" w:line="240" w:lineRule="auto"/>
            <w:rPr/>
          </w:pPr>
        </w:p>
      </w:tc>
      <w:tc>
        <w:tcPr>
          <w:cnfStyle w:val="000001000000"/>
          <w:tcW w:w="4696" w:type="dxa"/>
        </w:tcPr>
        <w:p w14:paraId="00000042">
          <w:pPr>
            <w:pStyle w:val="Normal"/>
            <w:spacing w:after="0" w:line="240" w:lineRule="auto"/>
            <w:rPr/>
          </w:pPr>
        </w:p>
      </w:tc>
      <w:tc>
        <w:tcPr>
          <w:cnfStyle w:val="000010000000"/>
          <w:tcW w:w="352" w:type="dxa"/>
        </w:tcPr>
        <w:p w14:paraId="00000043">
          <w:pPr>
            <w:pStyle w:val="Normal"/>
            <w:spacing w:after="0" w:line="240" w:lineRule="auto"/>
            <w:rPr/>
          </w:pPr>
        </w:p>
      </w:tc>
    </w:tr>
  </w:tbl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·"/>
      <w:lvlJc w:val="left"/>
      <w:rPr>
        <w:rFonts w:ascii="Symbol" w:cs="Symbol" w:eastAsia="Symbol" w:hAnsi="Symbol"/>
        <w:sz w:val="20"/>
      </w:rPr>
    </w:lvl>
    <w:lvl w:ilvl="1" w:tentative="0">
      <w:start w:val="1"/>
      <w:numFmt w:val="bullet"/>
      <w:lvlText w:val="o"/>
      <w:lvlJc w:val="left"/>
      <w:rPr>
        <w:rFonts w:ascii="Courier New" w:cs="Courier New" w:eastAsia="Courier New" w:hAnsi="Courier New"/>
        <w:sz w:val="20"/>
      </w:rPr>
    </w:lvl>
    <w:lvl w:ilvl="2" w:tentative="0">
      <w:start w:val="1"/>
      <w:numFmt w:val="bullet"/>
      <w:lvlText w:val="§"/>
      <w:lvlJc w:val="left"/>
      <w:rPr>
        <w:rFonts w:ascii="Wingdings" w:cs="Wingdings" w:eastAsia="Wingdings" w:hAnsi="Wingdings"/>
        <w:sz w:val="20"/>
      </w:rPr>
    </w:lvl>
    <w:lvl w:ilvl="3" w:tentative="0">
      <w:start w:val="1"/>
      <w:numFmt w:val="bullet"/>
      <w:lvlText w:val="·"/>
      <w:lvlJc w:val="left"/>
      <w:rPr>
        <w:rFonts w:ascii="Symbol" w:cs="Symbol" w:eastAsia="Symbol" w:hAnsi="Symbol"/>
        <w:sz w:val="20"/>
      </w:rPr>
    </w:lvl>
    <w:lvl w:ilvl="4" w:tentative="0">
      <w:start w:val="1"/>
      <w:numFmt w:val="bullet"/>
      <w:lvlText w:val="o"/>
      <w:lvlJc w:val="left"/>
      <w:rPr>
        <w:rFonts w:ascii="Courier New" w:cs="Courier New" w:eastAsia="Courier New" w:hAnsi="Courier New"/>
        <w:sz w:val="20"/>
      </w:rPr>
    </w:lvl>
    <w:lvl w:ilvl="5" w:tentative="0">
      <w:start w:val="1"/>
      <w:numFmt w:val="bullet"/>
      <w:lvlText w:val="§"/>
      <w:lvlJc w:val="left"/>
      <w:rPr>
        <w:rFonts w:ascii="Wingdings" w:cs="Wingdings" w:eastAsia="Wingdings" w:hAnsi="Wingdings"/>
        <w:sz w:val="20"/>
      </w:rPr>
    </w:lvl>
    <w:lvl w:ilvl="6" w:tentative="0">
      <w:start w:val="1"/>
      <w:numFmt w:val="bullet"/>
      <w:lvlText w:val="·"/>
      <w:lvlJc w:val="left"/>
      <w:rPr>
        <w:rFonts w:ascii="Symbol" w:cs="Symbol" w:eastAsia="Symbol" w:hAnsi="Symbol"/>
        <w:sz w:val="20"/>
      </w:rPr>
    </w:lvl>
    <w:lvl w:ilvl="7" w:tentative="0">
      <w:start w:val="1"/>
      <w:numFmt w:val="bullet"/>
      <w:lvlText w:val="o"/>
      <w:lvlJc w:val="left"/>
      <w:rPr>
        <w:rFonts w:ascii="Courier New" w:cs="Courier New" w:eastAsia="Courier New" w:hAnsi="Courier New"/>
        <w:sz w:val="20"/>
      </w:rPr>
    </w:lvl>
    <w:lvl w:ilvl="8" w:tentative="0">
      <w:start w:val="1"/>
      <w:numFmt w:val="bullet"/>
      <w:lvlText w:val="§"/>
      <w:lvlJc w:val="left"/>
      <w:rPr>
        <w:rFonts w:ascii="Wingdings" w:cs="Wingdings" w:eastAsia="Wingdings" w:hAnsi="Wingdings"/>
        <w:sz w:val="20"/>
      </w:r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</w:rPr>
    </w:rPrDefault>
    <w:pPrDefault/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mptyCellLayoutStyle">
    <w:name w:val="EmptyCellLayoutStyle"/>
    <w:basedOn w:val="Normal"/>
    <w:uiPriority w:val="99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numbering" Target="numbering.xml"/><Relationship Id="rId8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